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21 мая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Калимуллина Салавата Лутфуррахмановича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пенсионера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Калимуллин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 xml:space="preserve">Тюмень – Тобольск – Ханты-Мансийск, </w:t>
      </w:r>
      <w:r>
        <w:rPr>
          <w:rFonts w:ascii="Times New Roman" w:eastAsia="Times New Roman" w:hAnsi="Times New Roman" w:cs="Times New Roman"/>
        </w:rPr>
        <w:t xml:space="preserve">Нефтеюганский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CHANGAN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HUNTER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3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9.1.1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линии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разметки 1.1,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Калимуллин С.Л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.02.2025 обратился с ходатайством о рассмотрении дела по месту жительства, </w:t>
      </w:r>
      <w:r>
        <w:rPr>
          <w:rFonts w:ascii="Times New Roman" w:eastAsia="Times New Roman" w:hAnsi="Times New Roman" w:cs="Times New Roman"/>
        </w:rPr>
        <w:t>18.03</w:t>
      </w:r>
      <w:r>
        <w:rPr>
          <w:rFonts w:ascii="Times New Roman" w:eastAsia="Times New Roman" w:hAnsi="Times New Roman" w:cs="Times New Roman"/>
        </w:rPr>
        <w:t xml:space="preserve">.2025 ходатайство было удовлетворено, материалы дела об административном правонарушении поступили в суд </w:t>
      </w:r>
      <w:r>
        <w:rPr>
          <w:rFonts w:ascii="Times New Roman" w:eastAsia="Times New Roman" w:hAnsi="Times New Roman" w:cs="Times New Roman"/>
        </w:rPr>
        <w:t>05.05</w:t>
      </w:r>
      <w:r>
        <w:rPr>
          <w:rFonts w:ascii="Times New Roman" w:eastAsia="Times New Roman" w:hAnsi="Times New Roman" w:cs="Times New Roman"/>
        </w:rPr>
        <w:t xml:space="preserve">.2025.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соответствии с. ч.5 ст.4.5 КоАП РФ в случае удовлетворения ходатайства лица, в отношении которого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ходатайства до момента поступления материалов дела судье, в орган, должностному лицу, уполномоченным рассматривать дело по месту жительства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</w:t>
      </w:r>
      <w:r>
        <w:rPr>
          <w:rFonts w:ascii="Times New Roman" w:eastAsia="Times New Roman" w:hAnsi="Times New Roman" w:cs="Times New Roman"/>
        </w:rPr>
        <w:t>учив материалы дела, суд приходит к следующему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Калимуллин С.Л. 20.02.</w:t>
      </w:r>
      <w:r>
        <w:rPr>
          <w:rFonts w:ascii="Times New Roman" w:eastAsia="Times New Roman" w:hAnsi="Times New Roman" w:cs="Times New Roman"/>
        </w:rPr>
        <w:t xml:space="preserve">2025 в 12 час. 27 мин. на 841 км. автодороги Р404 Тюмень – Тобольск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CHANGAN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HUNTER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в зоне действия дорожного знака 3.20 «Обгон запрещен» и линии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Калимуллин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С.Л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Калимуллин С.Л. 20.02.</w:t>
      </w:r>
      <w:r>
        <w:rPr>
          <w:rFonts w:ascii="Times New Roman" w:eastAsia="Times New Roman" w:hAnsi="Times New Roman" w:cs="Times New Roman"/>
        </w:rPr>
        <w:t xml:space="preserve">2025 в 12 час. 27 мин. на 841 км. автодороги Р404 Тюмень – Тобольск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CHANGAN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HUNTER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и линии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зам. ком.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Калимуллин С.Л. 20.02.</w:t>
      </w:r>
      <w:r>
        <w:rPr>
          <w:rFonts w:ascii="Times New Roman" w:eastAsia="Times New Roman" w:hAnsi="Times New Roman" w:cs="Times New Roman"/>
        </w:rPr>
        <w:t xml:space="preserve">2025 в 12 час. 27 мин. на 841 км. автодороги Р404 Тюмень – Тобольск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CHANGAN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HUNTER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5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в зоне действия дорожного знака 3.20 «Обгон запрещен» и линии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- дислокацией дорожных знаков и разметки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видеозаписью, согласно которой, </w:t>
      </w:r>
      <w:r>
        <w:rPr>
          <w:rFonts w:ascii="Times New Roman" w:eastAsia="Times New Roman" w:hAnsi="Times New Roman" w:cs="Times New Roman"/>
        </w:rPr>
        <w:t>водитель,</w:t>
      </w:r>
      <w:r>
        <w:rPr>
          <w:rFonts w:ascii="Times New Roman" w:eastAsia="Times New Roman" w:hAnsi="Times New Roman" w:cs="Times New Roman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</w:rPr>
        <w:t>CHANGAN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HUNTER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5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и линии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Калимуллина Салавата Лутфуррахмановича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7 500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509100058</w:t>
      </w:r>
      <w:r>
        <w:rPr>
          <w:rFonts w:ascii="Times New Roman" w:eastAsia="Times New Roman" w:hAnsi="Times New Roman" w:cs="Times New Roman"/>
          <w:b/>
          <w:bCs/>
        </w:rPr>
        <w:t>41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UserDefinedgrp-33rplc-52">
    <w:name w:val="cat-UserDefined grp-33 rplc-52"/>
    <w:basedOn w:val="DefaultParagraphFont"/>
  </w:style>
  <w:style w:type="character" w:customStyle="1" w:styleId="cat-UserDefinedgrp-33rplc-55">
    <w:name w:val="cat-UserDefined grp-3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